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4"/>
        <w:gridCol w:w="1844"/>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43C3BA2" wp14:editId="65C8810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16063">
            <w:pPr>
              <w:rPr>
                <w:rFonts w:ascii="Arial" w:hAnsi="Arial"/>
              </w:rPr>
            </w:pPr>
            <w:r w:rsidRPr="00116063">
              <w:rPr>
                <w:rFonts w:ascii="Arial" w:hAnsi="Arial"/>
              </w:rPr>
              <w:t>Community Policing</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16063">
            <w:pPr>
              <w:rPr>
                <w:rFonts w:ascii="Arial" w:hAnsi="Arial" w:cs="Arial"/>
                <w:lang w:val="en-GB"/>
              </w:rPr>
            </w:pPr>
            <w:r>
              <w:rPr>
                <w:rFonts w:ascii="Arial" w:hAnsi="Arial" w:cs="Arial"/>
                <w:lang w:val="en-GB"/>
              </w:rPr>
              <w:t>PFP</w:t>
            </w:r>
            <w:r>
              <w:rPr>
                <w:rFonts w:ascii="Arial" w:hAnsi="Arial" w:cs="Arial"/>
                <w:lang w:val="en-GB"/>
              </w:rPr>
              <w:t>306</w:t>
            </w:r>
          </w:p>
          <w:p w:rsidR="00116063" w:rsidRPr="00F1598C" w:rsidRDefault="00116063">
            <w:pPr>
              <w:rPr>
                <w:rFonts w:ascii="Arial" w:hAnsi="Arial"/>
              </w:rPr>
            </w:pPr>
            <w:r>
              <w:rPr>
                <w:rFonts w:ascii="Arial" w:hAnsi="Arial" w:cs="Arial"/>
                <w:lang w:val="en-GB"/>
              </w:rPr>
              <w:t>PFP0</w:t>
            </w:r>
            <w:r>
              <w:rPr>
                <w:rFonts w:ascii="Arial" w:hAnsi="Arial" w:cs="Arial"/>
                <w:lang w:val="en-GB"/>
              </w:rPr>
              <w:t>306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40"/>
              <w:rPr>
                <w:rFonts w:ascii="Arial" w:hAnsi="Arial" w:cs="Arial"/>
                <w:lang w:val="en-GB"/>
              </w:rPr>
            </w:pPr>
            <w:r>
              <w:rPr>
                <w:rFonts w:ascii="Arial" w:hAnsi="Arial" w:cs="Arial"/>
              </w:rPr>
              <w:t xml:space="preserve">Protection, Security and Investigation and </w:t>
            </w:r>
          </w:p>
          <w:p w:rsidR="00D1300B" w:rsidRP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40"/>
              <w:rPr>
                <w:rFonts w:ascii="Arial" w:hAnsi="Arial" w:cs="Arial"/>
                <w:lang w:val="en-GB"/>
              </w:rPr>
            </w:pPr>
            <w:r>
              <w:rPr>
                <w:rFonts w:ascii="Arial" w:hAnsi="Arial" w:cs="Arial"/>
                <w:lang w:val="en-GB"/>
              </w:rPr>
              <w:t>Police Foundations</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640"/>
              <w:rPr>
                <w:rFonts w:ascii="Arial" w:hAnsi="Arial" w:cs="Arial"/>
                <w:lang w:val="en-GB"/>
              </w:rPr>
            </w:pPr>
            <w:r>
              <w:rPr>
                <w:rFonts w:ascii="Arial" w:hAnsi="Arial" w:cs="Arial"/>
                <w:lang w:val="en-GB"/>
              </w:rPr>
              <w:t>Alan Montgomery</w:t>
            </w:r>
          </w:p>
          <w:p w:rsidR="00757B48" w:rsidRPr="00F1598C" w:rsidRDefault="00116063">
            <w:pPr>
              <w:rPr>
                <w:rFonts w:ascii="Arial" w:hAnsi="Arial"/>
              </w:rPr>
            </w:pPr>
            <w:r>
              <w:rPr>
                <w:rFonts w:ascii="Arial" w:hAnsi="Arial"/>
              </w:rPr>
              <w:t>Molly Frenette</w:t>
            </w:r>
            <w:r w:rsidR="00757B48" w:rsidRPr="00F1598C">
              <w:rPr>
                <w:rFonts w:ascii="Arial" w:hAnsi="Arial"/>
              </w:rPr>
              <w:t>, Learning Specialist CICE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5809E452" wp14:editId="0E88F94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16063">
            <w:pPr>
              <w:rPr>
                <w:rFonts w:ascii="Arial" w:hAnsi="Arial"/>
              </w:rPr>
            </w:pPr>
            <w:r>
              <w:rPr>
                <w:rFonts w:ascii="Arial" w:hAnsi="Arial" w:cs="Arial"/>
                <w:lang w:val="en-GB"/>
              </w:rPr>
              <w:t>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16063">
            <w:pPr>
              <w:rPr>
                <w:rFonts w:ascii="Arial" w:hAnsi="Arial"/>
              </w:rPr>
            </w:pPr>
            <w:r>
              <w:rPr>
                <w:rFonts w:ascii="Arial" w:hAnsi="Arial" w:cs="Arial"/>
                <w:lang w:val="en-GB"/>
              </w:rPr>
              <w:t>None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16063">
            <w:pPr>
              <w:rPr>
                <w:rFonts w:ascii="Arial" w:hAnsi="Arial"/>
              </w:rPr>
            </w:pPr>
            <w:r>
              <w:rPr>
                <w:rFonts w:ascii="Arial" w:hAnsi="Arial" w:cs="Arial"/>
                <w:lang w:val="en-GB"/>
              </w:rPr>
              <w:t>3 hours per week/16 weeks</w:t>
            </w:r>
          </w:p>
        </w:tc>
      </w:tr>
      <w:tr w:rsidR="00994B52" w:rsidRPr="00F1598C">
        <w:trPr>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116063" w:rsidTr="00116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lastRenderedPageBreak/>
              <w:t>I.</w:t>
            </w:r>
          </w:p>
        </w:tc>
        <w:tc>
          <w:tcPr>
            <w:tcW w:w="8181" w:type="dxa"/>
            <w:gridSpan w:val="6"/>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Pr>
                <w:rFonts w:ascii="Arial" w:hAnsi="Arial" w:cs="Arial"/>
                <w:b/>
                <w:bCs/>
                <w:lang w:val="en-GB"/>
              </w:rPr>
              <w:t xml:space="preserve">COURSE DESCRIPTION: </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This course will introduce CICE students to the theory and models of community policing. Community development and involvement in dispute resolution processes. Public relations and crime prevention strategies will be researched and explored. Community agencies that are part of the community policing strategy will also be identified.</w:t>
            </w:r>
          </w:p>
        </w:tc>
      </w:tr>
    </w:tbl>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tbl>
      <w:tblPr>
        <w:tblW w:w="0" w:type="auto"/>
        <w:tblLayout w:type="fixed"/>
        <w:tblLook w:val="04A0" w:firstRow="1" w:lastRow="0" w:firstColumn="1" w:lastColumn="0" w:noHBand="0" w:noVBand="1"/>
      </w:tblPr>
      <w:tblGrid>
        <w:gridCol w:w="674"/>
        <w:gridCol w:w="567"/>
        <w:gridCol w:w="7614"/>
      </w:tblGrid>
      <w:tr w:rsidR="00116063" w:rsidTr="00116063">
        <w:tc>
          <w:tcPr>
            <w:tcW w:w="67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II.</w:t>
            </w:r>
          </w:p>
        </w:tc>
        <w:tc>
          <w:tcPr>
            <w:tcW w:w="8181" w:type="dxa"/>
            <w:gridSpan w:val="2"/>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b/>
                <w:bCs/>
                <w:lang w:val="en-GB"/>
              </w:rPr>
              <w:t>LEARNING OUTCOMES AND ELEMENTS OF THE PERFORMANCE:</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8181" w:type="dxa"/>
            <w:gridSpan w:val="2"/>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Pr>
                <w:rFonts w:ascii="Arial" w:hAnsi="Arial" w:cs="Arial"/>
                <w:lang w:val="en-GB"/>
              </w:rPr>
              <w:t>Upon successful completion of this course, the CICE student will, with the assistance of a Learning Specialist demonstrate the basic ability to:</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1.</w:t>
            </w: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Outline the evolution of policing in Canada (Chapter 1)</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u w:val="single"/>
                <w:lang w:val="en-GB"/>
              </w:rPr>
            </w:pPr>
            <w:r>
              <w:rPr>
                <w:rFonts w:ascii="Arial" w:hAnsi="Arial" w:cs="Arial"/>
                <w:u w:val="single"/>
                <w:lang w:val="en-GB"/>
              </w:rPr>
              <w:t>Potential Elements of the Performance:</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 outline the origin and evolution of policing</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b. outline the structure of contemporary policing in Canada</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c. outline police accountability issues in Canada</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d. outline the context of police work</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rPr>
              <w:t>e. outline the trends in policing</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2.</w:t>
            </w:r>
          </w:p>
        </w:tc>
        <w:tc>
          <w:tcPr>
            <w:tcW w:w="7614" w:type="dxa"/>
            <w:tcBorders>
              <w:top w:val="single" w:sz="6" w:space="0" w:color="FFFFFF"/>
              <w:left w:val="single" w:sz="6" w:space="0" w:color="FFFFFF"/>
              <w:bottom w:val="single" w:sz="6" w:space="0" w:color="FFFFFF"/>
              <w:right w:val="single" w:sz="6" w:space="0" w:color="FFFFFF"/>
            </w:tcBorders>
          </w:tcPr>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rPr>
              <w:t>Outline the theories and models of community base policing in Canada (Chapter 2)</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Pr>
                <w:rFonts w:ascii="Arial" w:hAnsi="Arial" w:cs="Arial"/>
                <w:u w:val="single"/>
                <w:lang w:val="en-GB"/>
              </w:rPr>
              <w:t>Potential Elements of the Performance</w:t>
            </w:r>
            <w:r>
              <w:rPr>
                <w:rFonts w:ascii="Arial" w:hAnsi="Arial" w:cs="Arial"/>
                <w:lang w:val="en-GB"/>
              </w:rPr>
              <w:t>:</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a. describe the traditional model of policing</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b. describe measures of police effectiveness</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c. identify the principles of community policing</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d. have a basic understanding of the differences between traditional policing and community based policing</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e. identify key sections of the Police Services Act related to community policing</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f. identify the key players and their role in community policing</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3.</w:t>
            </w:r>
          </w:p>
        </w:tc>
        <w:tc>
          <w:tcPr>
            <w:tcW w:w="761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Outline the responses to and prevention of crime within the community policing framework (Chapter 3)</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u w:val="single"/>
                <w:lang w:val="en-GB"/>
              </w:rPr>
              <w:t>Potential Elements of the Performance</w:t>
            </w:r>
            <w:r>
              <w:rPr>
                <w:rFonts w:ascii="Arial" w:hAnsi="Arial" w:cs="Arial"/>
                <w:lang w:val="en-GB"/>
              </w:rPr>
              <w:t>:</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tcPr>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 Define crime attack strategies, community service approach and crime prevention programs</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b. list and describe primary, secondary and tertiary prevention programs</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c. describe </w:t>
            </w:r>
            <w:proofErr w:type="spellStart"/>
            <w:r>
              <w:t>CPTED</w:t>
            </w:r>
            <w:proofErr w:type="spellEnd"/>
            <w:r>
              <w:t xml:space="preserve"> principles to prevent crime</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d. outline the effectiveness of programs</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e. outline mediation processes used by police</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bl>
    <w:p w:rsidR="00116063" w:rsidRDefault="00116063" w:rsidP="00116063">
      <w:pPr>
        <w:rPr>
          <w:rFonts w:ascii="Comic Sans MS" w:hAnsi="Comic Sans MS"/>
        </w:rPr>
      </w:pPr>
    </w:p>
    <w:tbl>
      <w:tblPr>
        <w:tblW w:w="0" w:type="auto"/>
        <w:tblLayout w:type="fixed"/>
        <w:tblLook w:val="04A0" w:firstRow="1" w:lastRow="0" w:firstColumn="1" w:lastColumn="0" w:noHBand="0" w:noVBand="1"/>
      </w:tblPr>
      <w:tblGrid>
        <w:gridCol w:w="674"/>
        <w:gridCol w:w="567"/>
        <w:gridCol w:w="7614"/>
      </w:tblGrid>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Pr>
                <w:rFonts w:ascii="Arial" w:hAnsi="Arial" w:cs="Arial"/>
                <w:b/>
                <w:bCs/>
                <w:lang w:val="en-GB"/>
              </w:rPr>
              <w:t>4.</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p>
        </w:tc>
        <w:tc>
          <w:tcPr>
            <w:tcW w:w="761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szCs w:val="24"/>
                <w:lang w:val="en-GB"/>
              </w:rPr>
            </w:pPr>
            <w:r>
              <w:rPr>
                <w:rFonts w:ascii="Arial" w:hAnsi="Arial" w:cs="Arial"/>
                <w:b/>
                <w:lang w:val="en-GB"/>
              </w:rPr>
              <w:t>Identify and describe public relations and community policing (notes)</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u w:val="single"/>
                <w:lang w:val="en-GB"/>
              </w:rPr>
            </w:pPr>
            <w:r>
              <w:rPr>
                <w:rFonts w:ascii="Arial" w:hAnsi="Arial" w:cs="Arial"/>
                <w:u w:val="single"/>
                <w:lang w:val="en-GB"/>
              </w:rPr>
              <w:t>Potential Elements of the Performance:</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 xml:space="preserve">4.1 </w:t>
            </w:r>
            <w:r>
              <w:rPr>
                <w:rFonts w:ascii="Arial" w:hAnsi="Arial" w:cs="Arial"/>
                <w:lang w:val="en-GB"/>
              </w:rPr>
              <w:tab/>
              <w:t>define the term public relations</w:t>
            </w:r>
          </w:p>
          <w:p w:rsidR="00116063" w:rsidRDefault="00116063">
            <w:pPr>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744" w:hanging="709"/>
              <w:rPr>
                <w:rFonts w:ascii="Arial" w:hAnsi="Arial" w:cs="Arial"/>
                <w:lang w:val="en-GB"/>
              </w:rPr>
            </w:pPr>
            <w:r>
              <w:rPr>
                <w:rFonts w:ascii="Arial" w:hAnsi="Arial" w:cs="Arial"/>
                <w:lang w:val="en-GB"/>
              </w:rPr>
              <w:t xml:space="preserve">4.2 </w:t>
            </w:r>
            <w:r>
              <w:rPr>
                <w:rFonts w:ascii="Arial" w:hAnsi="Arial" w:cs="Arial"/>
                <w:lang w:val="en-GB"/>
              </w:rPr>
              <w:tab/>
              <w:t>identify political and legislative factors that influence community policing</w:t>
            </w:r>
          </w:p>
          <w:p w:rsidR="00116063" w:rsidRDefault="0011606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44" w:hanging="744"/>
              <w:rPr>
                <w:rFonts w:ascii="Arial" w:hAnsi="Arial" w:cs="Arial"/>
                <w:lang w:val="en-GB"/>
              </w:rPr>
            </w:pPr>
            <w:r>
              <w:rPr>
                <w:rFonts w:ascii="Arial" w:hAnsi="Arial" w:cs="Arial"/>
                <w:lang w:val="en-GB"/>
              </w:rPr>
              <w:t xml:space="preserve">4.3 </w:t>
            </w:r>
            <w:r>
              <w:rPr>
                <w:rFonts w:ascii="Arial" w:hAnsi="Arial" w:cs="Arial"/>
                <w:lang w:val="en-GB"/>
              </w:rPr>
              <w:tab/>
              <w:t>explain the relationship between public relations and community policing</w:t>
            </w:r>
          </w:p>
          <w:p w:rsidR="00116063" w:rsidRDefault="00116063">
            <w:pPr>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744" w:hanging="744"/>
              <w:rPr>
                <w:rFonts w:ascii="Arial" w:hAnsi="Arial" w:cs="Arial"/>
                <w:lang w:val="en-GB"/>
              </w:rPr>
            </w:pPr>
            <w:r>
              <w:rPr>
                <w:rFonts w:ascii="Arial" w:hAnsi="Arial" w:cs="Arial"/>
                <w:lang w:val="en-GB"/>
              </w:rPr>
              <w:t xml:space="preserve">4.4 </w:t>
            </w:r>
            <w:r>
              <w:rPr>
                <w:rFonts w:ascii="Arial" w:hAnsi="Arial" w:cs="Arial"/>
                <w:lang w:val="en-GB"/>
              </w:rPr>
              <w:tab/>
              <w:t>discuss media relations and explain its role in community policing</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5.</w:t>
            </w:r>
          </w:p>
        </w:tc>
        <w:tc>
          <w:tcPr>
            <w:tcW w:w="761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319"/>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b/>
                <w:szCs w:val="24"/>
                <w:lang w:val="en-GB"/>
              </w:rPr>
            </w:pPr>
            <w:r>
              <w:rPr>
                <w:rFonts w:ascii="Arial" w:hAnsi="Arial" w:cs="Arial"/>
                <w:b/>
                <w:lang w:val="en-GB"/>
              </w:rPr>
              <w:t>Identify and apply elements of volunteerism (Notes)</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319"/>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u w:val="single"/>
                <w:lang w:val="en-GB"/>
              </w:rPr>
            </w:pPr>
            <w:r>
              <w:rPr>
                <w:rFonts w:ascii="Arial" w:hAnsi="Arial" w:cs="Arial"/>
                <w:u w:val="single"/>
                <w:lang w:val="en-GB"/>
              </w:rPr>
              <w:t>Potential Elements of the Performance:</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lang w:val="en-GB"/>
              </w:rPr>
            </w:pPr>
            <w:r>
              <w:rPr>
                <w:rFonts w:ascii="Arial" w:hAnsi="Arial" w:cs="Arial"/>
                <w:lang w:val="en-GB"/>
              </w:rPr>
              <w:t xml:space="preserve">5.1 </w:t>
            </w:r>
            <w:r>
              <w:rPr>
                <w:rFonts w:ascii="Arial" w:hAnsi="Arial" w:cs="Arial"/>
                <w:lang w:val="en-GB"/>
              </w:rPr>
              <w:tab/>
              <w:t>identify and describe the profile of a community volunteer</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744" w:hanging="709"/>
              <w:rPr>
                <w:rFonts w:ascii="Arial" w:hAnsi="Arial" w:cs="Arial"/>
                <w:lang w:val="en-GB"/>
              </w:rPr>
            </w:pPr>
            <w:r>
              <w:rPr>
                <w:rFonts w:ascii="Arial" w:hAnsi="Arial" w:cs="Arial"/>
                <w:lang w:val="en-GB"/>
              </w:rPr>
              <w:t xml:space="preserve">5.2 </w:t>
            </w:r>
            <w:r>
              <w:rPr>
                <w:rFonts w:ascii="Arial" w:hAnsi="Arial" w:cs="Arial"/>
                <w:lang w:val="en-GB"/>
              </w:rPr>
              <w:tab/>
              <w:t>have a basic understanding of policies and procedures that are applicable to   volunteers</w:t>
            </w:r>
            <w:r>
              <w:rPr>
                <w:rFonts w:ascii="Arial" w:hAnsi="Arial" w:cs="Arial"/>
                <w:lang w:val="en-GB"/>
              </w:rPr>
              <w:tab/>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lang w:val="en-GB"/>
              </w:rPr>
            </w:pPr>
            <w:r>
              <w:rPr>
                <w:rFonts w:ascii="Arial" w:hAnsi="Arial" w:cs="Arial"/>
                <w:lang w:val="en-GB"/>
              </w:rPr>
              <w:t xml:space="preserve">5.3 </w:t>
            </w:r>
            <w:r>
              <w:rPr>
                <w:rFonts w:ascii="Arial" w:hAnsi="Arial" w:cs="Arial"/>
                <w:lang w:val="en-GB"/>
              </w:rPr>
              <w:tab/>
              <w:t>draft a job description for a volunteer</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lang w:val="en-GB"/>
              </w:rPr>
            </w:pPr>
            <w:r>
              <w:rPr>
                <w:rFonts w:ascii="Arial" w:hAnsi="Arial" w:cs="Arial"/>
                <w:lang w:val="en-GB"/>
              </w:rPr>
              <w:t xml:space="preserve">5.4 </w:t>
            </w:r>
            <w:r>
              <w:rPr>
                <w:rFonts w:ascii="Arial" w:hAnsi="Arial" w:cs="Arial"/>
                <w:lang w:val="en-GB"/>
              </w:rPr>
              <w:tab/>
              <w:t>explain the recruitment and selection process</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744" w:hanging="709"/>
              <w:rPr>
                <w:rFonts w:ascii="Arial" w:hAnsi="Arial" w:cs="Arial"/>
                <w:lang w:val="en-GB"/>
              </w:rPr>
            </w:pPr>
            <w:r>
              <w:rPr>
                <w:rFonts w:ascii="Arial" w:hAnsi="Arial" w:cs="Arial"/>
                <w:lang w:val="en-GB"/>
              </w:rPr>
              <w:t xml:space="preserve">5.5 </w:t>
            </w:r>
            <w:r>
              <w:rPr>
                <w:rFonts w:ascii="Arial" w:hAnsi="Arial" w:cs="Arial"/>
                <w:lang w:val="en-GB"/>
              </w:rPr>
              <w:tab/>
              <w:t>explain the training, supervision, and scheduling considerations for volunteers</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lang w:val="en-GB"/>
              </w:rPr>
            </w:pPr>
            <w:r>
              <w:rPr>
                <w:rFonts w:ascii="Arial" w:hAnsi="Arial" w:cs="Arial"/>
                <w:lang w:val="en-GB"/>
              </w:rPr>
              <w:t>5.6</w:t>
            </w:r>
            <w:r>
              <w:rPr>
                <w:rFonts w:ascii="Arial" w:hAnsi="Arial" w:cs="Arial"/>
                <w:lang w:val="en-GB"/>
              </w:rPr>
              <w:tab/>
              <w:t>identify techniques for motivating volunteers</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lang w:val="en-GB"/>
              </w:rPr>
            </w:pPr>
            <w:r>
              <w:rPr>
                <w:rFonts w:ascii="Arial" w:hAnsi="Arial" w:cs="Arial"/>
                <w:lang w:val="en-GB"/>
              </w:rPr>
              <w:t xml:space="preserve">5.7 </w:t>
            </w:r>
            <w:r>
              <w:rPr>
                <w:rFonts w:ascii="Arial" w:hAnsi="Arial" w:cs="Arial"/>
                <w:lang w:val="en-GB"/>
              </w:rPr>
              <w:tab/>
              <w:t xml:space="preserve">successfully complete 30 hours of volunteer experience with </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744"/>
                <w:tab w:val="left" w:pos="1440"/>
                <w:tab w:val="left" w:pos="2160"/>
                <w:tab w:val="left" w:pos="2880"/>
                <w:tab w:val="left" w:pos="3600"/>
                <w:tab w:val="left" w:pos="4320"/>
                <w:tab w:val="left" w:pos="5040"/>
                <w:tab w:val="left" w:pos="5760"/>
                <w:tab w:val="left" w:pos="6480"/>
                <w:tab w:val="left" w:pos="7200"/>
                <w:tab w:val="left" w:pos="7920"/>
                <w:tab w:val="right" w:pos="8640"/>
              </w:tabs>
              <w:ind w:left="319" w:hanging="284"/>
              <w:rPr>
                <w:rFonts w:ascii="Arial" w:hAnsi="Arial" w:cs="Arial"/>
                <w:lang w:val="en-GB"/>
              </w:rPr>
            </w:pPr>
            <w:r>
              <w:rPr>
                <w:rFonts w:ascii="Arial" w:hAnsi="Arial" w:cs="Arial"/>
                <w:lang w:val="en-GB"/>
              </w:rPr>
              <w:tab/>
              <w:t>an approved agency</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III.</w:t>
            </w:r>
          </w:p>
        </w:tc>
        <w:tc>
          <w:tcPr>
            <w:tcW w:w="8181" w:type="dxa"/>
            <w:gridSpan w:val="2"/>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Pr>
                <w:rFonts w:ascii="Arial" w:hAnsi="Arial" w:cs="Arial"/>
                <w:b/>
                <w:bCs/>
                <w:lang w:val="en-GB"/>
              </w:rPr>
              <w:t>TOPICS:</w:t>
            </w:r>
          </w:p>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1.</w:t>
            </w: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Policing in Canada</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2.</w:t>
            </w: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Understanding Community Policing</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3.</w:t>
            </w: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Crime Prevention</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4.</w:t>
            </w: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Volunteerism</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5.</w:t>
            </w:r>
          </w:p>
        </w:tc>
        <w:tc>
          <w:tcPr>
            <w:tcW w:w="7614" w:type="dxa"/>
            <w:tcBorders>
              <w:top w:val="single" w:sz="6" w:space="0" w:color="FFFFFF"/>
              <w:left w:val="single" w:sz="6" w:space="0" w:color="FFFFFF"/>
              <w:bottom w:val="single" w:sz="6" w:space="0" w:color="FFFFFF"/>
              <w:right w:val="single" w:sz="6" w:space="0" w:color="FFFFFF"/>
            </w:tcBorders>
            <w:hideMark/>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Public and Media Relations</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567"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7614" w:type="dxa"/>
            <w:tcBorders>
              <w:top w:val="single" w:sz="6" w:space="0" w:color="FFFFFF"/>
              <w:left w:val="single" w:sz="6" w:space="0" w:color="FFFFFF"/>
              <w:bottom w:val="single" w:sz="6" w:space="0" w:color="FFFFFF"/>
              <w:right w:val="single" w:sz="6" w:space="0" w:color="FFFFFF"/>
            </w:tcBorders>
          </w:tcPr>
          <w:p w:rsidR="00116063" w:rsidRDefault="00116063">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r>
    </w:tbl>
    <w:p w:rsidR="00116063" w:rsidRDefault="00116063" w:rsidP="00116063">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tbl>
      <w:tblPr>
        <w:tblW w:w="0" w:type="auto"/>
        <w:tblLayout w:type="fixed"/>
        <w:tblLook w:val="04A0" w:firstRow="1" w:lastRow="0" w:firstColumn="1" w:lastColumn="0" w:noHBand="0" w:noVBand="1"/>
      </w:tblPr>
      <w:tblGrid>
        <w:gridCol w:w="674"/>
        <w:gridCol w:w="8181"/>
      </w:tblGrid>
      <w:tr w:rsidR="00116063" w:rsidTr="00116063">
        <w:tc>
          <w:tcPr>
            <w:tcW w:w="67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val="en-GB"/>
              </w:rPr>
            </w:pPr>
            <w:r>
              <w:rPr>
                <w:rFonts w:ascii="Arial" w:hAnsi="Arial" w:cs="Arial"/>
                <w:b/>
                <w:bCs/>
                <w:lang w:val="en-GB"/>
              </w:rPr>
              <w:t>IV.</w:t>
            </w:r>
          </w:p>
        </w:tc>
        <w:tc>
          <w:tcPr>
            <w:tcW w:w="8181"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Pr>
                <w:rFonts w:ascii="Arial" w:hAnsi="Arial" w:cs="Arial"/>
                <w:b/>
                <w:bCs/>
                <w:lang w:val="en-GB"/>
              </w:rPr>
              <w:t>REQUIRED RESOURCES/TEXTS/MATERIALS:</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b/>
                <w:bCs/>
                <w:lang w:val="en-GB"/>
              </w:rPr>
              <w:t xml:space="preserve">Community-Based Strategic Policing in Canada, </w:t>
            </w:r>
            <w:r>
              <w:rPr>
                <w:rFonts w:ascii="Arial" w:hAnsi="Arial" w:cs="Arial"/>
                <w:lang w:val="en-GB"/>
              </w:rPr>
              <w:t xml:space="preserve">Whitelaw, </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val="en-GB"/>
              </w:rPr>
            </w:pPr>
            <w:r>
              <w:rPr>
                <w:rFonts w:ascii="Arial" w:hAnsi="Arial" w:cs="Arial"/>
                <w:lang w:val="en-GB"/>
              </w:rPr>
              <w:t>Nelson /Thompson Learning</w:t>
            </w:r>
          </w:p>
        </w:tc>
      </w:tr>
    </w:tbl>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lang w:val="en-GB"/>
        </w:rPr>
      </w:pPr>
    </w:p>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lang w:val="en-GB"/>
        </w:rPr>
      </w:pPr>
    </w:p>
    <w:tbl>
      <w:tblPr>
        <w:tblW w:w="0" w:type="auto"/>
        <w:tblLayout w:type="fixed"/>
        <w:tblLook w:val="04A0" w:firstRow="1" w:lastRow="0" w:firstColumn="1" w:lastColumn="0" w:noHBand="0" w:noVBand="1"/>
      </w:tblPr>
      <w:tblGrid>
        <w:gridCol w:w="674"/>
        <w:gridCol w:w="8181"/>
      </w:tblGrid>
      <w:tr w:rsidR="00116063" w:rsidTr="00116063">
        <w:tc>
          <w:tcPr>
            <w:tcW w:w="674"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val="en-GB"/>
              </w:rPr>
            </w:pPr>
            <w:r>
              <w:rPr>
                <w:rFonts w:ascii="Arial" w:hAnsi="Arial" w:cs="Arial"/>
                <w:b/>
                <w:bCs/>
                <w:i/>
                <w:iCs/>
                <w:lang w:val="en-GB"/>
              </w:rPr>
              <w:t>V.</w:t>
            </w:r>
          </w:p>
        </w:tc>
        <w:tc>
          <w:tcPr>
            <w:tcW w:w="8181"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iCs/>
                <w:szCs w:val="24"/>
                <w:lang w:val="en-GB"/>
              </w:rPr>
            </w:pPr>
            <w:r>
              <w:rPr>
                <w:rFonts w:ascii="Arial" w:hAnsi="Arial" w:cs="Arial"/>
                <w:b/>
                <w:bCs/>
                <w:i/>
                <w:iCs/>
                <w:lang w:val="en-GB"/>
              </w:rPr>
              <w:t>EVALUATION PROCESS/GRADING SYSTEM:</w:t>
            </w: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p>
          <w:p w:rsidR="00116063" w:rsidRDefault="00116063">
            <w:pPr>
              <w:pStyle w:val="EnvelopeRe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rPr>
            </w:pPr>
            <w:r>
              <w:rPr>
                <w:i/>
                <w:iCs/>
              </w:rPr>
              <w:t>Mid Term Exam                             35 marks</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lang w:val="en-GB"/>
              </w:rPr>
            </w:pPr>
            <w:r>
              <w:rPr>
                <w:rFonts w:ascii="Arial" w:hAnsi="Arial" w:cs="Arial"/>
                <w:i/>
                <w:iCs/>
                <w:lang w:val="en-GB"/>
              </w:rPr>
              <w:t>Final Exam                                    35 marks</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val="en-GB"/>
              </w:rPr>
            </w:pPr>
            <w:r>
              <w:rPr>
                <w:rFonts w:ascii="Arial" w:hAnsi="Arial" w:cs="Arial"/>
                <w:i/>
                <w:iCs/>
                <w:lang w:val="en-GB"/>
              </w:rPr>
              <w:t>Volunteer Assignments                 30 marks</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val="en-GB"/>
              </w:rPr>
            </w:pPr>
            <w:r>
              <w:lastRenderedPageBreak/>
              <w:br w:type="page"/>
            </w:r>
          </w:p>
        </w:tc>
        <w:tc>
          <w:tcPr>
            <w:tcW w:w="8181"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iCs/>
                <w:szCs w:val="24"/>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lang w:val="en-GB"/>
              </w:rPr>
              <w:t>Rewrites of test, exams or assignments are not permitted</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lang w:val="en-GB"/>
              </w:rPr>
              <w:t>All assignments must be typed, double spaced, and have a cover page.</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lang w:val="en-GB"/>
              </w:rPr>
            </w:pPr>
            <w:r>
              <w:rPr>
                <w:rFonts w:ascii="Arial" w:hAnsi="Arial" w:cs="Arial"/>
                <w:b/>
                <w:bCs/>
                <w:lang w:val="en-GB"/>
              </w:rPr>
              <w:t xml:space="preserve">Failure to notify the professor prior to exams/tests and receive permission to write later will result in a “0” grade. </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val="en-GB"/>
              </w:rPr>
            </w:pPr>
            <w:r>
              <w:rPr>
                <w:rFonts w:ascii="Arial" w:hAnsi="Arial" w:cs="Arial"/>
                <w:b/>
                <w:bCs/>
                <w:lang w:val="en-GB"/>
              </w:rPr>
              <w:t>Late assignments will not be accepted for marking.</w:t>
            </w:r>
          </w:p>
        </w:tc>
      </w:tr>
    </w:tbl>
    <w:p w:rsidR="00116063" w:rsidRDefault="00116063" w:rsidP="00116063">
      <w:pPr>
        <w:rPr>
          <w:rFonts w:ascii="Comic Sans MS" w:hAnsi="Comic Sans MS"/>
        </w:rPr>
      </w:pPr>
    </w:p>
    <w:tbl>
      <w:tblPr>
        <w:tblW w:w="0" w:type="auto"/>
        <w:tblLayout w:type="fixed"/>
        <w:tblLook w:val="04A0" w:firstRow="1" w:lastRow="0" w:firstColumn="1" w:lastColumn="0" w:noHBand="0" w:noVBand="1"/>
      </w:tblPr>
      <w:tblGrid>
        <w:gridCol w:w="674"/>
        <w:gridCol w:w="8181"/>
      </w:tblGrid>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rPr>
              <w:br w:type="page"/>
            </w:r>
          </w:p>
        </w:tc>
        <w:tc>
          <w:tcPr>
            <w:tcW w:w="818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 xml:space="preserve">The following semester grades will be assigned to students in </w:t>
            </w:r>
            <w:proofErr w:type="spellStart"/>
            <w:r>
              <w:rPr>
                <w:rFonts w:ascii="Arial" w:hAnsi="Arial" w:cs="Arial"/>
                <w:iCs/>
                <w:lang w:val="en-GB"/>
              </w:rPr>
              <w:t>post secondary</w:t>
            </w:r>
            <w:proofErr w:type="spellEnd"/>
            <w:r>
              <w:rPr>
                <w:rFonts w:ascii="Arial" w:hAnsi="Arial" w:cs="Arial"/>
                <w:iCs/>
                <w:lang w:val="en-GB"/>
              </w:rPr>
              <w:t xml:space="preserve"> courses:</w:t>
            </w:r>
          </w:p>
        </w:tc>
      </w:tr>
    </w:tbl>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lang w:val="en-GB"/>
        </w:rPr>
      </w:pPr>
    </w:p>
    <w:tbl>
      <w:tblPr>
        <w:tblW w:w="0" w:type="auto"/>
        <w:tblLayout w:type="fixed"/>
        <w:tblLook w:val="04A0" w:firstRow="1" w:lastRow="0" w:firstColumn="1" w:lastColumn="0" w:noHBand="0" w:noVBand="1"/>
      </w:tblPr>
      <w:tblGrid>
        <w:gridCol w:w="674"/>
        <w:gridCol w:w="1701"/>
        <w:gridCol w:w="4677"/>
        <w:gridCol w:w="1802"/>
      </w:tblGrid>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u w:val="single"/>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val="en-GB"/>
              </w:rPr>
            </w:pPr>
            <w:r>
              <w:rPr>
                <w:rFonts w:ascii="Arial" w:hAnsi="Arial" w:cs="Arial"/>
                <w:iCs/>
                <w:u w:val="single"/>
                <w:lang w:val="en-GB"/>
              </w:rPr>
              <w:t>Grade</w:t>
            </w:r>
          </w:p>
        </w:tc>
        <w:tc>
          <w:tcPr>
            <w:tcW w:w="4677"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u w:val="single"/>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val="en-GB"/>
              </w:rPr>
            </w:pPr>
            <w:r>
              <w:rPr>
                <w:rFonts w:ascii="Arial" w:hAnsi="Arial" w:cs="Arial"/>
                <w:iCs/>
                <w:u w:val="single"/>
                <w:lang w:val="en-GB"/>
              </w:rPr>
              <w:t>Definition</w:t>
            </w:r>
          </w:p>
        </w:tc>
        <w:tc>
          <w:tcPr>
            <w:tcW w:w="1802"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 xml:space="preserve">Grade Point </w:t>
            </w:r>
            <w:r>
              <w:rPr>
                <w:rFonts w:ascii="Arial" w:hAnsi="Arial" w:cs="Arial"/>
                <w:iCs/>
                <w:u w:val="single"/>
                <w:lang w:val="en-GB"/>
              </w:rPr>
              <w:t>Equivalent</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rPr>
              <w:t>A+</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90 - 100%</w:t>
            </w:r>
          </w:p>
        </w:tc>
        <w:tc>
          <w:tcPr>
            <w:tcW w:w="1802"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4.00</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A</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80 - 89%</w:t>
            </w:r>
          </w:p>
        </w:tc>
        <w:tc>
          <w:tcPr>
            <w:tcW w:w="1802"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4.00</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B</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70 - 79%</w:t>
            </w:r>
          </w:p>
        </w:tc>
        <w:tc>
          <w:tcPr>
            <w:tcW w:w="1802"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3.00</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C</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60 - 69%</w:t>
            </w:r>
          </w:p>
        </w:tc>
        <w:tc>
          <w:tcPr>
            <w:tcW w:w="1802"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2.00</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Cs w:val="24"/>
                <w:lang w:val="en-GB"/>
              </w:rPr>
            </w:pPr>
            <w:r>
              <w:rPr>
                <w:rFonts w:ascii="Arial" w:hAnsi="Arial" w:cs="Arial"/>
                <w:iCs/>
                <w:lang w:val="en-GB"/>
              </w:rPr>
              <w:t>D</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F</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lang w:val="en-GB"/>
              </w:rPr>
            </w:pPr>
            <w:r>
              <w:rPr>
                <w:rFonts w:ascii="Arial" w:hAnsi="Arial" w:cs="Arial"/>
                <w:iCs/>
                <w:lang w:val="en-GB"/>
              </w:rPr>
              <w:t>50 – 59%</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59% or below</w:t>
            </w:r>
          </w:p>
        </w:tc>
        <w:tc>
          <w:tcPr>
            <w:tcW w:w="1802"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iCs/>
                <w:szCs w:val="24"/>
                <w:lang w:val="en-GB"/>
              </w:rPr>
            </w:pPr>
            <w:r>
              <w:rPr>
                <w:rFonts w:ascii="Arial" w:hAnsi="Arial" w:cs="Arial"/>
                <w:iCs/>
                <w:lang w:val="en-GB"/>
              </w:rPr>
              <w:t>1.00</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r>
              <w:rPr>
                <w:rFonts w:ascii="Arial" w:hAnsi="Arial" w:cs="Arial"/>
                <w:iCs/>
                <w:lang w:val="en-GB"/>
              </w:rPr>
              <w:t>0.00</w:t>
            </w: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CR (Credit)</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Credit for diploma requirements has been awarded.</w:t>
            </w:r>
          </w:p>
        </w:tc>
        <w:tc>
          <w:tcPr>
            <w:tcW w:w="1802"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S</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Satisfactory achievement in field placement or non-graded subject areas.</w:t>
            </w:r>
          </w:p>
        </w:tc>
        <w:tc>
          <w:tcPr>
            <w:tcW w:w="1802"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U</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Unsatisfactory achievement in field placement or non-graded subject areas.</w:t>
            </w:r>
          </w:p>
        </w:tc>
        <w:tc>
          <w:tcPr>
            <w:tcW w:w="1802"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val="en-GB"/>
              </w:rPr>
            </w:pPr>
          </w:p>
        </w:tc>
      </w:tr>
      <w:tr w:rsidR="00116063" w:rsidTr="00116063">
        <w:tc>
          <w:tcPr>
            <w:tcW w:w="674"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p>
        </w:tc>
        <w:tc>
          <w:tcPr>
            <w:tcW w:w="1701"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val="en-GB"/>
              </w:rPr>
            </w:pPr>
            <w:r>
              <w:rPr>
                <w:rFonts w:ascii="Arial" w:hAnsi="Arial" w:cs="Arial"/>
                <w:iCs/>
                <w:lang w:val="en-GB"/>
              </w:rPr>
              <w:t>X</w:t>
            </w:r>
          </w:p>
        </w:tc>
        <w:tc>
          <w:tcPr>
            <w:tcW w:w="4677" w:type="dxa"/>
            <w:tcBorders>
              <w:top w:val="single" w:sz="6" w:space="0" w:color="FFFFFF"/>
              <w:left w:val="single" w:sz="6" w:space="0" w:color="FFFFFF"/>
              <w:bottom w:val="single" w:sz="6" w:space="0" w:color="FFFFFF"/>
              <w:right w:val="single" w:sz="6" w:space="0" w:color="FFFFFF"/>
            </w:tcBorders>
            <w:hideMark/>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iCs/>
                <w:lang w:val="en-GB"/>
              </w:rPr>
              <w:t>A temporary grade.  This is used in limited situations with extenuating circumstances giving a student additional time to complete the requirements for a course (see Policies &amp;</w:t>
            </w:r>
            <w:r>
              <w:rPr>
                <w:rFonts w:ascii="Arial" w:hAnsi="Arial" w:cs="Arial"/>
                <w:lang w:val="en-GB"/>
              </w:rPr>
              <w:t xml:space="preserve"> </w:t>
            </w:r>
            <w:r>
              <w:rPr>
                <w:rFonts w:ascii="Arial" w:hAnsi="Arial" w:cs="Arial"/>
                <w:iCs/>
                <w:lang w:val="en-GB"/>
              </w:rPr>
              <w:t>Procedures Manual – Deferred Grades and Make-up</w:t>
            </w:r>
            <w:r>
              <w:rPr>
                <w:rFonts w:ascii="Arial" w:hAnsi="Arial" w:cs="Arial"/>
                <w:lang w:val="en-GB"/>
              </w:rPr>
              <w:t>).</w:t>
            </w:r>
          </w:p>
        </w:tc>
        <w:tc>
          <w:tcPr>
            <w:tcW w:w="1802" w:type="dxa"/>
            <w:tcBorders>
              <w:top w:val="single" w:sz="6" w:space="0" w:color="FFFFFF"/>
              <w:left w:val="single" w:sz="6" w:space="0" w:color="FFFFFF"/>
              <w:bottom w:val="single" w:sz="6" w:space="0" w:color="FFFFFF"/>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val="en-GB"/>
              </w:rPr>
            </w:pPr>
          </w:p>
        </w:tc>
      </w:tr>
      <w:tr w:rsidR="00116063" w:rsidTr="00116063">
        <w:trPr>
          <w:trHeight w:val="2112"/>
        </w:trPr>
        <w:tc>
          <w:tcPr>
            <w:tcW w:w="674" w:type="dxa"/>
            <w:tcBorders>
              <w:top w:val="single" w:sz="6" w:space="0" w:color="FFFFFF"/>
              <w:left w:val="single" w:sz="6" w:space="0" w:color="FFFFFF"/>
              <w:bottom w:val="nil"/>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1701" w:type="dxa"/>
            <w:tcBorders>
              <w:top w:val="single" w:sz="6" w:space="0" w:color="FFFFFF"/>
              <w:left w:val="single" w:sz="6" w:space="0" w:color="FFFFFF"/>
              <w:bottom w:val="nil"/>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Pr>
                <w:rFonts w:ascii="Arial" w:hAnsi="Arial" w:cs="Arial"/>
                <w:lang w:val="en-GB"/>
              </w:rPr>
              <w:t>NR</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r>
              <w:rPr>
                <w:rFonts w:ascii="Arial" w:hAnsi="Arial" w:cs="Arial"/>
                <w:lang w:val="en-GB"/>
              </w:rPr>
              <w:t>W</w:t>
            </w:r>
          </w:p>
        </w:tc>
        <w:tc>
          <w:tcPr>
            <w:tcW w:w="4677" w:type="dxa"/>
            <w:tcBorders>
              <w:top w:val="single" w:sz="6" w:space="0" w:color="FFFFFF"/>
              <w:left w:val="single" w:sz="6" w:space="0" w:color="FFFFFF"/>
              <w:bottom w:val="nil"/>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4"/>
                <w:lang w:val="en-GB"/>
              </w:rPr>
            </w:pPr>
            <w:r>
              <w:rPr>
                <w:rFonts w:ascii="Arial" w:hAnsi="Arial" w:cs="Arial"/>
                <w:lang w:val="en-GB"/>
              </w:rPr>
              <w:t>Grade not reported to Registrar's office.  This is used to facilitate transcript preparation when, for extenuating circumstances, it has not been possible for the faculty member to report grades.</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r>
              <w:rPr>
                <w:rFonts w:ascii="Arial" w:hAnsi="Arial" w:cs="Arial"/>
                <w:lang w:val="en-GB"/>
              </w:rPr>
              <w:t>Student has withdrawn from the course without academic penalty.</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val="en-GB"/>
              </w:rPr>
            </w:pPr>
          </w:p>
        </w:tc>
        <w:tc>
          <w:tcPr>
            <w:tcW w:w="1802" w:type="dxa"/>
            <w:tcBorders>
              <w:top w:val="single" w:sz="6" w:space="0" w:color="FFFFFF"/>
              <w:left w:val="single" w:sz="6" w:space="0" w:color="FFFFFF"/>
              <w:bottom w:val="nil"/>
              <w:right w:val="single" w:sz="6" w:space="0" w:color="FFFFFF"/>
            </w:tcBorders>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val="en-GB"/>
              </w:rPr>
            </w:pPr>
          </w:p>
        </w:tc>
      </w:tr>
      <w:tr w:rsidR="00116063" w:rsidTr="00116063">
        <w:trPr>
          <w:trHeight w:val="1248"/>
        </w:trPr>
        <w:tc>
          <w:tcPr>
            <w:tcW w:w="8854" w:type="dxa"/>
            <w:gridSpan w:val="4"/>
          </w:tcPr>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Cs w:val="24"/>
                <w:lang w:val="en-GB"/>
              </w:rPr>
            </w:pPr>
            <w:r>
              <w:rPr>
                <w:rFonts w:ascii="Arial" w:hAnsi="Arial" w:cs="Arial"/>
                <w:b/>
                <w:bCs/>
                <w:lang w:val="en-GB"/>
              </w:rPr>
              <w:lastRenderedPageBreak/>
              <w:t>For such reasons as program certification or program articulation, this course requires a minimum greater than 60% to achieve a passing grade.  The program requires a minimum GPA of 2.0 in order to graduate.</w:t>
            </w:r>
          </w:p>
          <w:p w:rsidR="00116063" w:rsidRDefault="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val="en-GB"/>
              </w:rPr>
            </w:pPr>
          </w:p>
        </w:tc>
      </w:tr>
    </w:tbl>
    <w:p w:rsidR="00116063" w:rsidRDefault="00116063" w:rsidP="00116063">
      <w:pPr>
        <w:rPr>
          <w:rFonts w:ascii="Arial" w:hAnsi="Arial" w:cs="Arial"/>
        </w:rPr>
      </w:pPr>
    </w:p>
    <w:p w:rsidR="00116063" w:rsidRDefault="00116063" w:rsidP="00116063">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16063" w:rsidRDefault="00116063" w:rsidP="00116063">
      <w:pPr>
        <w:rPr>
          <w:rFonts w:ascii="Arial" w:hAnsi="Arial" w:cs="Arial"/>
          <w:szCs w:val="24"/>
        </w:rPr>
      </w:pPr>
    </w:p>
    <w:p w:rsidR="00116063" w:rsidRDefault="00116063" w:rsidP="00116063">
      <w:pPr>
        <w:rPr>
          <w:rFonts w:ascii="Arial" w:hAnsi="Arial" w:cs="Arial"/>
        </w:rPr>
      </w:pPr>
    </w:p>
    <w:tbl>
      <w:tblPr>
        <w:tblW w:w="8835" w:type="dxa"/>
        <w:tblLayout w:type="fixed"/>
        <w:tblLook w:val="04A0" w:firstRow="1" w:lastRow="0" w:firstColumn="1" w:lastColumn="0" w:noHBand="0" w:noVBand="1"/>
      </w:tblPr>
      <w:tblGrid>
        <w:gridCol w:w="675"/>
        <w:gridCol w:w="8160"/>
      </w:tblGrid>
      <w:tr w:rsidR="00116063" w:rsidTr="00116063">
        <w:trPr>
          <w:cantSplit/>
        </w:trPr>
        <w:tc>
          <w:tcPr>
            <w:tcW w:w="675" w:type="dxa"/>
            <w:hideMark/>
          </w:tcPr>
          <w:p w:rsidR="00116063" w:rsidRDefault="00116063">
            <w:pPr>
              <w:widowControl w:val="0"/>
              <w:autoSpaceDE w:val="0"/>
              <w:autoSpaceDN w:val="0"/>
              <w:adjustRightInd w:val="0"/>
              <w:rPr>
                <w:rFonts w:ascii="Arial" w:hAnsi="Arial"/>
                <w:b/>
                <w:szCs w:val="24"/>
              </w:rPr>
            </w:pPr>
            <w:r>
              <w:rPr>
                <w:rFonts w:ascii="Arial" w:hAnsi="Arial"/>
                <w:b/>
              </w:rPr>
              <w:t>VI.</w:t>
            </w:r>
          </w:p>
        </w:tc>
        <w:tc>
          <w:tcPr>
            <w:tcW w:w="8163" w:type="dxa"/>
          </w:tcPr>
          <w:p w:rsidR="00116063" w:rsidRDefault="00116063">
            <w:pPr>
              <w:rPr>
                <w:rFonts w:ascii="Arial" w:hAnsi="Arial"/>
                <w:b/>
                <w:szCs w:val="24"/>
              </w:rPr>
            </w:pPr>
            <w:r>
              <w:rPr>
                <w:rFonts w:ascii="Arial" w:hAnsi="Arial"/>
                <w:b/>
              </w:rPr>
              <w:t>SPECIAL NOTES:</w:t>
            </w:r>
          </w:p>
          <w:p w:rsidR="00116063" w:rsidRDefault="00116063">
            <w:pPr>
              <w:widowControl w:val="0"/>
              <w:autoSpaceDE w:val="0"/>
              <w:autoSpaceDN w:val="0"/>
              <w:adjustRightInd w:val="0"/>
              <w:rPr>
                <w:rFonts w:ascii="Arial" w:hAnsi="Arial"/>
                <w:szCs w:val="24"/>
              </w:rPr>
            </w:pPr>
          </w:p>
        </w:tc>
      </w:tr>
      <w:tr w:rsidR="00116063" w:rsidTr="00116063">
        <w:trPr>
          <w:cantSplit/>
        </w:trPr>
        <w:tc>
          <w:tcPr>
            <w:tcW w:w="675" w:type="dxa"/>
          </w:tcPr>
          <w:p w:rsidR="00116063" w:rsidRDefault="00116063">
            <w:pPr>
              <w:widowControl w:val="0"/>
              <w:autoSpaceDE w:val="0"/>
              <w:autoSpaceDN w:val="0"/>
              <w:adjustRightInd w:val="0"/>
              <w:rPr>
                <w:rFonts w:ascii="Arial" w:hAnsi="Arial"/>
                <w:szCs w:val="24"/>
              </w:rPr>
            </w:pPr>
          </w:p>
        </w:tc>
        <w:tc>
          <w:tcPr>
            <w:tcW w:w="8163" w:type="dxa"/>
          </w:tcPr>
          <w:p w:rsidR="00116063" w:rsidRDefault="00116063">
            <w:pPr>
              <w:rPr>
                <w:rFonts w:ascii="Arial" w:hAnsi="Arial" w:cs="Arial"/>
                <w:szCs w:val="24"/>
                <w:u w:val="single"/>
              </w:rPr>
            </w:pPr>
            <w:r>
              <w:rPr>
                <w:rFonts w:ascii="Arial" w:hAnsi="Arial" w:cs="Arial"/>
                <w:u w:val="single"/>
              </w:rPr>
              <w:t>Attendance:</w:t>
            </w:r>
          </w:p>
          <w:p w:rsidR="00116063" w:rsidRDefault="00116063">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6063" w:rsidRDefault="00116063">
            <w:pPr>
              <w:rPr>
                <w:rFonts w:ascii="Arial" w:hAnsi="Arial" w:cs="Arial"/>
                <w:i/>
              </w:rPr>
            </w:pPr>
          </w:p>
          <w:p w:rsidR="00116063" w:rsidRDefault="00116063">
            <w:pPr>
              <w:rPr>
                <w:rFonts w:ascii="Arial" w:hAnsi="Arial" w:cs="Arial"/>
              </w:rPr>
            </w:pPr>
            <w:r>
              <w:rPr>
                <w:rFonts w:ascii="Arial" w:hAnsi="Arial" w:cs="Arial"/>
                <w:i/>
              </w:rPr>
              <w:t>It is the departmental policy that once the classroom door has been enclosed, the learning process has begun.  Late arrivers will not be granted admission to the room.</w:t>
            </w:r>
          </w:p>
          <w:p w:rsidR="00116063" w:rsidRDefault="00116063">
            <w:pPr>
              <w:widowControl w:val="0"/>
              <w:autoSpaceDE w:val="0"/>
              <w:autoSpaceDN w:val="0"/>
              <w:adjustRightInd w:val="0"/>
              <w:rPr>
                <w:rFonts w:ascii="Arial" w:hAnsi="Arial" w:cs="Arial"/>
                <w:szCs w:val="24"/>
                <w:u w:val="single"/>
              </w:rPr>
            </w:pPr>
          </w:p>
        </w:tc>
      </w:tr>
    </w:tbl>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tbl>
      <w:tblPr>
        <w:tblW w:w="0" w:type="auto"/>
        <w:tblLayout w:type="fixed"/>
        <w:tblLook w:val="04A0" w:firstRow="1" w:lastRow="0" w:firstColumn="1" w:lastColumn="0" w:noHBand="0" w:noVBand="1"/>
      </w:tblPr>
      <w:tblGrid>
        <w:gridCol w:w="675"/>
        <w:gridCol w:w="8181"/>
      </w:tblGrid>
      <w:tr w:rsidR="00116063" w:rsidTr="00116063">
        <w:trPr>
          <w:cantSplit/>
        </w:trPr>
        <w:tc>
          <w:tcPr>
            <w:tcW w:w="675" w:type="dxa"/>
            <w:hideMark/>
          </w:tcPr>
          <w:p w:rsidR="00116063" w:rsidRDefault="00116063">
            <w:pPr>
              <w:widowControl w:val="0"/>
              <w:autoSpaceDE w:val="0"/>
              <w:autoSpaceDN w:val="0"/>
              <w:adjustRightInd w:val="0"/>
              <w:rPr>
                <w:rFonts w:ascii="Arial" w:hAnsi="Arial"/>
                <w:b/>
                <w:szCs w:val="24"/>
              </w:rPr>
            </w:pPr>
            <w:r>
              <w:rPr>
                <w:rFonts w:ascii="Arial" w:hAnsi="Arial"/>
                <w:b/>
              </w:rPr>
              <w:t>VII.</w:t>
            </w:r>
          </w:p>
        </w:tc>
        <w:tc>
          <w:tcPr>
            <w:tcW w:w="8181" w:type="dxa"/>
          </w:tcPr>
          <w:p w:rsidR="00116063" w:rsidRDefault="00116063">
            <w:pPr>
              <w:rPr>
                <w:rFonts w:ascii="Arial" w:hAnsi="Arial"/>
                <w:b/>
                <w:szCs w:val="24"/>
              </w:rPr>
            </w:pPr>
            <w:r>
              <w:rPr>
                <w:rFonts w:ascii="Arial" w:hAnsi="Arial"/>
                <w:b/>
              </w:rPr>
              <w:t>COURSE OUTLINE ADDENDUM:</w:t>
            </w:r>
          </w:p>
          <w:p w:rsidR="00116063" w:rsidRDefault="00116063">
            <w:pPr>
              <w:widowControl w:val="0"/>
              <w:autoSpaceDE w:val="0"/>
              <w:autoSpaceDN w:val="0"/>
              <w:adjustRightInd w:val="0"/>
              <w:rPr>
                <w:rFonts w:ascii="Arial" w:hAnsi="Arial"/>
                <w:b/>
                <w:szCs w:val="24"/>
              </w:rPr>
            </w:pPr>
          </w:p>
        </w:tc>
      </w:tr>
      <w:tr w:rsidR="00116063" w:rsidTr="00116063">
        <w:trPr>
          <w:cantSplit/>
        </w:trPr>
        <w:tc>
          <w:tcPr>
            <w:tcW w:w="675" w:type="dxa"/>
          </w:tcPr>
          <w:p w:rsidR="00116063" w:rsidRDefault="00116063">
            <w:pPr>
              <w:widowControl w:val="0"/>
              <w:autoSpaceDE w:val="0"/>
              <w:autoSpaceDN w:val="0"/>
              <w:adjustRightInd w:val="0"/>
              <w:rPr>
                <w:rFonts w:ascii="Arial" w:hAnsi="Arial"/>
                <w:szCs w:val="24"/>
              </w:rPr>
            </w:pPr>
          </w:p>
        </w:tc>
        <w:tc>
          <w:tcPr>
            <w:tcW w:w="8181" w:type="dxa"/>
            <w:hideMark/>
          </w:tcPr>
          <w:p w:rsidR="00116063" w:rsidRDefault="00116063">
            <w:pPr>
              <w:widowControl w:val="0"/>
              <w:autoSpaceDE w:val="0"/>
              <w:autoSpaceDN w:val="0"/>
              <w:adjustRightInd w:val="0"/>
              <w:rPr>
                <w:rFonts w:ascii="Arial" w:hAnsi="Arial"/>
                <w:szCs w:val="24"/>
              </w:rPr>
            </w:pPr>
            <w:r>
              <w:rPr>
                <w:rFonts w:ascii="Arial" w:hAnsi="Arial"/>
              </w:rPr>
              <w:t>The provisions contained in the addendum located on the portal form part of this course outline.</w:t>
            </w:r>
          </w:p>
        </w:tc>
      </w:tr>
    </w:tbl>
    <w:p w:rsidR="00116063" w:rsidRDefault="00116063" w:rsidP="00116063">
      <w:pPr>
        <w:pStyle w:val="EnvelopeReturn"/>
      </w:pPr>
    </w:p>
    <w:p w:rsidR="00116063" w:rsidRDefault="00116063" w:rsidP="0011606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lang w:val="en-GB"/>
        </w:rPr>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34" w:rsidRDefault="00463A34">
      <w:r>
        <w:separator/>
      </w:r>
    </w:p>
  </w:endnote>
  <w:endnote w:type="continuationSeparator" w:id="0">
    <w:p w:rsidR="00463A34" w:rsidRDefault="0046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34" w:rsidRDefault="00463A34">
      <w:r>
        <w:separator/>
      </w:r>
    </w:p>
  </w:footnote>
  <w:footnote w:type="continuationSeparator" w:id="0">
    <w:p w:rsidR="00463A34" w:rsidRDefault="0046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1606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16063" w:rsidP="00243A34">
          <w:pPr>
            <w:rPr>
              <w:rFonts w:ascii="Arial" w:hAnsi="Arial"/>
              <w:snapToGrid w:val="0"/>
            </w:rPr>
          </w:pPr>
          <w:r>
            <w:rPr>
              <w:rFonts w:ascii="Arial" w:hAnsi="Arial" w:cs="Arial"/>
              <w:lang w:val="en-GB"/>
            </w:rPr>
            <w:t>Community Policing</w:t>
          </w:r>
        </w:p>
      </w:tc>
      <w:tc>
        <w:tcPr>
          <w:tcW w:w="1134" w:type="dxa"/>
        </w:tcPr>
        <w:p w:rsidR="0005601D" w:rsidRDefault="0005601D">
          <w:pPr>
            <w:pStyle w:val="Header"/>
            <w:jc w:val="center"/>
            <w:rPr>
              <w:rFonts w:ascii="Arial" w:hAnsi="Arial"/>
              <w:snapToGrid w:val="0"/>
            </w:rPr>
          </w:pPr>
        </w:p>
      </w:tc>
      <w:tc>
        <w:tcPr>
          <w:tcW w:w="3928" w:type="dxa"/>
        </w:tcPr>
        <w:p w:rsidR="0005601D" w:rsidRDefault="00116063">
          <w:pPr>
            <w:pStyle w:val="Header"/>
            <w:jc w:val="right"/>
            <w:rPr>
              <w:rFonts w:ascii="Arial" w:hAnsi="Arial"/>
              <w:snapToGrid w:val="0"/>
            </w:rPr>
          </w:pPr>
          <w:r>
            <w:rPr>
              <w:rFonts w:ascii="Arial" w:hAnsi="Arial" w:cs="Arial"/>
              <w:lang w:val="en-GB"/>
            </w:rPr>
            <w:t>PFP0</w:t>
          </w:r>
          <w:r>
            <w:rPr>
              <w:rFonts w:ascii="Arial" w:hAnsi="Arial" w:cs="Arial"/>
              <w:lang w:val="en-GB"/>
            </w:rPr>
            <w:t>306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16063"/>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3A34"/>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EnvelopeRet">
    <w:name w:val="Envelope Ret"/>
    <w:basedOn w:val="Normal"/>
    <w:rsid w:val="00116063"/>
    <w:pPr>
      <w:widowControl w:val="0"/>
      <w:autoSpaceDE w:val="0"/>
      <w:autoSpaceDN w:val="0"/>
      <w:adjustRightInd w:val="0"/>
    </w:pPr>
    <w:rPr>
      <w:rFonts w:ascii="Arial" w:hAnsi="Arial" w:cs="Arial"/>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EnvelopeRet">
    <w:name w:val="Envelope Ret"/>
    <w:basedOn w:val="Normal"/>
    <w:rsid w:val="00116063"/>
    <w:pPr>
      <w:widowControl w:val="0"/>
      <w:autoSpaceDE w:val="0"/>
      <w:autoSpaceDN w:val="0"/>
      <w:adjustRightInd w:val="0"/>
    </w:pPr>
    <w:rPr>
      <w:rFonts w:ascii="Arial" w:hAnsi="Arial" w:cs="Arial"/>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07086001">
      <w:bodyDiv w:val="1"/>
      <w:marLeft w:val="0"/>
      <w:marRight w:val="0"/>
      <w:marTop w:val="0"/>
      <w:marBottom w:val="0"/>
      <w:divBdr>
        <w:top w:val="none" w:sz="0" w:space="0" w:color="auto"/>
        <w:left w:val="none" w:sz="0" w:space="0" w:color="auto"/>
        <w:bottom w:val="none" w:sz="0" w:space="0" w:color="auto"/>
        <w:right w:val="none" w:sz="0" w:space="0" w:color="auto"/>
      </w:divBdr>
    </w:div>
    <w:div w:id="94851527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048048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9ED40-E958-4E80-AC5C-67D26C1CE606}"/>
</file>

<file path=customXml/itemProps2.xml><?xml version="1.0" encoding="utf-8"?>
<ds:datastoreItem xmlns:ds="http://schemas.openxmlformats.org/officeDocument/2006/customXml" ds:itemID="{543348CA-A794-48F6-82E6-6C5A0FD807B0}"/>
</file>

<file path=customXml/itemProps3.xml><?xml version="1.0" encoding="utf-8"?>
<ds:datastoreItem xmlns:ds="http://schemas.openxmlformats.org/officeDocument/2006/customXml" ds:itemID="{3664CDFF-A1DD-4D33-BF6F-650C55EFE51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2013-01-28T19:07:00Z</dcterms:created>
  <dcterms:modified xsi:type="dcterms:W3CDTF">2013-01-28T19:07:00Z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1555200</vt:r8>
  </property>
</Properties>
</file>